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30F" w:rsidRPr="006B530F" w:rsidRDefault="006B530F" w:rsidP="006B530F">
      <w:pPr>
        <w:spacing w:after="240" w:line="356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МИНИСТЕРСТВО ПРОСВЕЩЕНИЯ РОССИЙСКОЙ ФЕДЕРАЦИИ</w:t>
      </w:r>
    </w:p>
    <w:p w:rsidR="006B530F" w:rsidRPr="006B530F" w:rsidRDefault="006B530F" w:rsidP="006B530F">
      <w:pPr>
        <w:spacing w:after="240" w:line="356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РАСПОРЯЖЕНИЕ</w:t>
      </w:r>
    </w:p>
    <w:p w:rsidR="006B530F" w:rsidRPr="006B530F" w:rsidRDefault="006B530F" w:rsidP="006B530F">
      <w:pPr>
        <w:spacing w:after="240" w:line="356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от 1 ноября 2019 года N Р-109</w:t>
      </w: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Об утверждении </w:t>
      </w:r>
      <w:hyperlink r:id="rId4" w:anchor="6540IN" w:history="1">
        <w:r w:rsidRPr="006B530F">
          <w:rPr>
            <w:rFonts w:ascii="Arial" w:eastAsia="Times New Roman" w:hAnsi="Arial" w:cs="Arial"/>
            <w:b/>
            <w:bCs/>
            <w:color w:val="3451A0"/>
            <w:sz w:val="26"/>
            <w:u w:val="single"/>
            <w:lang w:eastAsia="ru-RU"/>
          </w:rPr>
          <w:t>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</w:t>
        </w:r>
      </w:hyperlink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соответствии с мероприятием Е</w:t>
      </w: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1</w:t>
      </w:r>
      <w:proofErr w:type="gram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.01.01.03 плана мероприятий федерального проекта "Современная школа" национального проекта "Образование":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1. Утвердить </w:t>
      </w:r>
      <w:hyperlink r:id="rId5" w:anchor="6540IN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 xml:space="preserve">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</w:t>
        </w:r>
        <w:proofErr w:type="gramStart"/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заседания коллегии Министерства просвещения Российской Федерации</w:t>
        </w:r>
        <w:proofErr w:type="gramEnd"/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 xml:space="preserve"> от 24 декабря 2018 г. N ПК-1вн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2. </w:t>
      </w: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Контроль за</w:t>
      </w:r>
      <w:proofErr w:type="gram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jc w:val="righ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Заместитель Министра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М.Н.Ракова</w:t>
      </w:r>
      <w:proofErr w:type="spellEnd"/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240" w:line="356" w:lineRule="atLeast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Приложение</w:t>
      </w:r>
    </w:p>
    <w:p w:rsidR="006B530F" w:rsidRPr="006B530F" w:rsidRDefault="006B530F" w:rsidP="006B530F">
      <w:pPr>
        <w:spacing w:after="0" w:line="356" w:lineRule="atLeast"/>
        <w:jc w:val="righ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УТВЕРЖДЕНЫ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распоряжением Министерства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просвещения Российской Федерации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>от 1 ноября 2019 года N Р-109</w:t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240" w:line="356" w:lineRule="atLeast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lastRenderedPageBreak/>
        <w:t xml:space="preserve">Методические рекомендации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</w:t>
      </w:r>
      <w:proofErr w:type="gramStart"/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заседания коллегии Министерства просвещения Российской Федерации</w:t>
      </w:r>
      <w:proofErr w:type="gramEnd"/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 xml:space="preserve"> от 24 декабря 2018 г. N ПК-1вн</w:t>
      </w:r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240" w:line="35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1. Общие положения</w:t>
      </w:r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Предметная область "Технология" предусмотрена </w:t>
      </w:r>
      <w:hyperlink r:id="rId6" w:anchor="6540IN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утвержденным </w:t>
      </w:r>
      <w:hyperlink r:id="rId7" w:anchor="64U0IK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приказом Министерства образования и науки Российской Федерации от 6 октября 2009 г. N 373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(зарегистрирован Министерством юстиции Российской Федерации 22 декабря 2009 г., регистрационный N 15785), </w:t>
      </w:r>
      <w:hyperlink r:id="rId8" w:anchor="6500IL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Федеральным государственным образовательным стандартом основного общего образования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утвержденного </w:t>
      </w:r>
      <w:hyperlink r:id="rId9" w:anchor="64U0IK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приказом Министерства образования и науки Российской Федерации от 17 декабря 2010 г. N 1897</w:t>
        </w:r>
        <w:proofErr w:type="gramEnd"/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(зарегистрирован Министерством юстиции Российской Федерации 1 февраля 2011 г., регистрационный N 19644), </w:t>
      </w:r>
      <w:hyperlink r:id="rId10" w:anchor="6500IL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Федеральным государственным образовательным стандартом среднего общего образования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утвержденным </w:t>
      </w:r>
      <w:hyperlink r:id="rId11" w:anchor="64U0IK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приказом Министерства образования и науки Российской Федерации от 17 мая 2012 г. N 413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(зарегистрирован Министерством юстиции Российской Федерации 7 июня 2012 г., регистрационный N 24480). </w:t>
      </w: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Согласно Концепции преподавания предметной области "Технология" в образовательных организациях Российской Федерации, реализующих основные общеобразовательные программы, утвержденной протоколом заседания коллегии Министерства просвещения Российской Федерации от 24 декабря 2018 г. N ПК-1вн (далее - Концепция), предметная область "Технология" является важнейшим элементом овладения компетенциями, в том числе 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метапредметными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развития технологий, в том числе: информационных, коммуникационных, когнитивных.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proofErr w:type="gramEnd"/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 рамках освоения предметной области "Технология" происходит приобретение базовых навыков работы с современным технологичным оборудованием, освоение современных "сквозных" цифровых технологий, 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ознакомление с современными профессиями и тенденциями их развития,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деятельности, вводятся принципы проектной деятельности.</w:t>
      </w:r>
      <w:proofErr w:type="gram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Для инновационной экономики и гармоничного развития государства одинаково важны как высокий уровень владения современными технологиями, так и способность разрабатывать и осваивать новые технологии.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Настоящие методические рекомендации направлены на создание условий в субъектах Российской Федерации для преподавания предметной области "Технология" согласно Концепции и с учетом </w:t>
      </w:r>
      <w:hyperlink r:id="rId12" w:anchor="6580IP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Стратегии научно-технологического развития Российской Федерации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утвержденной </w:t>
      </w:r>
      <w:hyperlink r:id="rId13" w:anchor="64U0IK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Указом Президента Российской Федерации от 1 декабря 2016 г. N 642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(далее - Стратегия научно-технологического развития Российской Федерации), Национальной технологической инициативы в соответствии с </w:t>
      </w:r>
      <w:hyperlink r:id="rId14" w:anchor="7D20K3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постановлением Правительства Российской Федерации от 18 апреля 2016 г. N</w:t>
        </w:r>
        <w:proofErr w:type="gramEnd"/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 xml:space="preserve"> 317 "О реализации Национальной технологической инициативы"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 (далее - Национальная технологическая инициатива) и </w:t>
      </w:r>
      <w:hyperlink r:id="rId15" w:anchor="7D20K3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Национальной программы "Цифровая экономика Российской Федерации"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240" w:line="35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2. Обновление содержания, методы и технологии преподавания образовательных программ</w:t>
      </w:r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Для реализации указанных в </w:t>
      </w:r>
      <w:hyperlink r:id="rId16" w:anchor="6580IP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Стратегии научно-технологического развития Российской Федерации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 приоритетов необходимы определенные модели мышления и поведения личности, включающие, с одной стороны 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креативность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и изобретательство, с другой стороны, структурное мышление и такую компетенцию, как обучение на протяжении всей жизни, которые, как показывает опыт многих стран, формируются в школьном возрасте. Такие модели мышления вырабатываются у обучающихся путем развития 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метапредметных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навыков.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Также, важным аспектом является формирование у обучающихся навыков проектной и исследовательской деятельности, использование проектного метода во всех видах образовательной деятельности (в урочной и внеурочной деятельности, дополнительном образовании).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Для формирования такой модели конвергентного образования и развития соответствующих компетенций необходима интеграция новых форм и методов обучения в образовательный процесс, направленных на развитие гибких навыков, в том числе таких как "мозговой штурм", рефлексия, дизайн-мышление (примерные формы и методы обучения приведены в </w:t>
      </w:r>
      <w:hyperlink r:id="rId17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Приложениях N 1-N 3* к настоящим методическим рекомендациям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________________</w:t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* Приложения </w:t>
      </w: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см</w:t>
      </w:r>
      <w:proofErr w:type="gram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 по ссылке. - Примечание изготовителя базы данных.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Помимо использования новых форм и методов обучения, так же предлагается изменить структуру образовательной программы, внедрив, так называемый метод кейсов (кейс-метод, метод конкретных ситуаций, метод ситуационного анализа). Данный метод использует описание реальных инженерных, экономических, социальных и 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бизнес-ситуаций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направлен на изучение </w:t>
      </w: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обучающимися</w:t>
      </w:r>
      <w:proofErr w:type="gram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"жизненной" ситуации, оценки и анализа сути проблем, предложения возможных решений и выбора лучшего из них для дальнейшей реализации. Кейсы основываются на реальной ситуации или же приближены к ней.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Ключевым фактором является формирование "вытягивающей модели" в образовании, направленной на осознанное получение обучающимся необходимого набора знаний, </w:t>
      </w: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</w:t>
      </w:r>
      <w:proofErr w:type="gram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которой обучающийся получает или добывает набор знаний, необходимый ему для реализации его "шага развития" в данный момент. "Шаг развития" и круг задач определяет сам обучающийся. Задача педагога при этом - правильное и своевременное выявление зоны ближайшего развития обучающегося и предоставление ему возможности его освоить.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Образовательные программы основного общего образования, включающие рабочие программы по учебным предметам предметной области "Технологии" (далее - образовательные программы), сформированные с учетом вышеизложенного, являются базовыми в центрах цифрового и гуманитарного профилей "Точка роста" (</w:t>
      </w:r>
      <w:hyperlink r:id="rId18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 xml:space="preserve">Приложение N 4* </w:t>
        </w:r>
        <w:proofErr w:type="gramStart"/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к</w:t>
        </w:r>
        <w:proofErr w:type="gramEnd"/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 xml:space="preserve"> </w:t>
        </w:r>
        <w:proofErr w:type="gramStart"/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настоящим</w:t>
        </w:r>
        <w:proofErr w:type="gramEnd"/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 xml:space="preserve"> методическим рекомендациям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). Примеры применения кейс-метода при реализации дополнительных общеобразовательных программах приведены в </w:t>
      </w:r>
      <w:hyperlink r:id="rId19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Приложении N 5* к настоящим методическим рекомендациям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________________</w:t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* Приложения </w:t>
      </w: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см</w:t>
      </w:r>
      <w:proofErr w:type="gram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 по ссылке. - Примечание изготовителя базы данных.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 формировании образовательных программ необходимо учитывать Стратегию социально-экономического развития субъекта Российской Федерации и Национальную технологическую инициативу. Несмотря на то, что ключевой задачей является освоение инновационных и приоритетных технологий, образовательные программы должны содержать компонент, направленный на развитие базовых навыков и компетенций по предметной области "Технология".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рамках основного общего образования, согласно примерной основной образовательной программе основного общего образования предметная область "Технология" реализуется из расчета 2 часа в неделю в 5-7 классах, 1 час - в 8 классе, в 9 классе - за счет вариативной части учебного плана и внеурочной деятельности. Рекомендуется реализовывать программу в 9 классе в размере не менее 1 часа в неделю в обязательном порядке посредством реализации проектной или исследовательской деятельности.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240" w:line="35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3. Использование материально-технической базы при реализации образовательных программ в сетевой форме</w:t>
      </w:r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Для выполнения инженерных и научно-исследовательских проектов в рамках учебных занятий по предметной области "Технология" с учетом Концепции необходимо использование высокотехнологичного оборудования.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связи с тем, что общеобразовательные организации не всегда обладают достаточной материально-технической базой, возможна реализация образовательных программ в сетевой форме на базе научных организаций, медицинских организаций, предприятиях реального сектора экономики, организаций дополнительного образования (центров технологической поддержки образования, детских технопарков, включая сеть детских технопарков "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Кванториум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", центров молодежного инновационного творчества (ЦМИТ), специализированных центров компетенций (включая 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Ворлдскиллс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) и другие).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proofErr w:type="gramEnd"/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Актуальность сетевого взаимодействия, а также организационные и финансовые механизмы реализации описаны в </w:t>
      </w:r>
      <w:hyperlink r:id="rId20" w:anchor="64U0IK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 xml:space="preserve">Методических </w:t>
        </w:r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lastRenderedPageBreak/>
          <w:t>рекомендациях для субъектов Российской Федерации по вопросам реализации основных и дополнительных общеобразовательных программ в сетевой форме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утвержденных Министерством просвещения Российской Федерации от 28 июня 2019 г. N МР-81/02вн.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proofErr w:type="gramEnd"/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Сетевая форма реализации образовательных программ в организациях, имеющих 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высокооснащенные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ученико-места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является приоритетной, обеспечивает эффективность использования материально-технической базы.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240" w:line="35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4. Основные требования к обновлению материально-технической базы</w:t>
      </w:r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При отсутствии возможности организовать реализацию образовательных программ в сетевой форме в организациях, имеющих 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высокооснащенные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ученико-места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, общеобразовательной организацией составляется перечень необходимого оборудования, исходя из планируемых к реализации технологических направлений и модулей образовательной программы по предметной области "Технология", а также возможности развития прикладных компетенций по перспективным направлениям </w:t>
      </w: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у</w:t>
      </w:r>
      <w:proofErr w:type="gram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обучающихся.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Министерством просвещения Российской Федерации ежегодно обновляются методические рекомендации по созданию и функционированию детских технопарков "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Кванториум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", мобильных детских технопарков "</w:t>
      </w:r>
      <w:proofErr w:type="spell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Кванториум</w:t>
      </w:r>
      <w:proofErr w:type="spell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", методические рекомендации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 (Центры "Точка роста") и другие методические рекомендации, направленные на реализацию национального проекта "Образование</w:t>
      </w:r>
      <w:proofErr w:type="gram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". Данные методические рекомендации включают в себя перечни оборудования, составленные с учетом основных направлений </w:t>
      </w:r>
      <w:hyperlink r:id="rId21" w:anchor="6580IP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Стратегии научно-технологического развития Российской Федерации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, Национальной технологической инициативы, </w:t>
      </w:r>
      <w:hyperlink r:id="rId22" w:anchor="7D20K3" w:history="1">
        <w:r w:rsidRPr="006B530F">
          <w:rPr>
            <w:rFonts w:ascii="Arial" w:eastAsia="Times New Roman" w:hAnsi="Arial" w:cs="Arial"/>
            <w:color w:val="3451A0"/>
            <w:sz w:val="26"/>
            <w:u w:val="single"/>
            <w:lang w:eastAsia="ru-RU"/>
          </w:rPr>
          <w:t>национальной программы "Цифровая экономика Российской Федерации"</w:t>
        </w:r>
      </w:hyperlink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240" w:line="356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5. Система мотивации и повышения квалификации педагогических работников</w:t>
      </w:r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Для ведения учебных занятий по предметной области "Технология" с учетом Концепции, необходимо создать систему непрерывного повышения квалификации педагогических работников. </w:t>
      </w: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Данную задачу предлагается решать путем обновления программ повышения квалификации педагогических работников, направленных на овладение современными методами, формами и технологиями преподавания, создания новых направлений подготовки по образовательным программам высшего образования, создания образовательных программ высшего образования по направлению подготовки "Педагогическое образование" (магистратура) для специалистов предприятий (организаций) реального сектора экономики, участвующих в реализации образовательных программ в сетевой форме.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proofErr w:type="gramEnd"/>
    </w:p>
    <w:p w:rsidR="006B530F" w:rsidRPr="006B530F" w:rsidRDefault="006B530F" w:rsidP="006B530F">
      <w:pPr>
        <w:spacing w:after="0" w:line="356" w:lineRule="atLeast"/>
        <w:ind w:firstLine="480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Помимо этого, в рамках учебных занятий по предметной области "Технология" возможно привлечение педагогов информатики и информационно-коммуникационных технологий.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Электронный текст документа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  <w:t xml:space="preserve">подготовлен АО "Кодекс" и сверен </w:t>
      </w:r>
      <w:proofErr w:type="gramStart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</w:t>
      </w:r>
      <w:proofErr w:type="gramEnd"/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:</w:t>
      </w:r>
    </w:p>
    <w:p w:rsidR="006B530F" w:rsidRPr="006B530F" w:rsidRDefault="006B530F" w:rsidP="006B530F">
      <w:pPr>
        <w:spacing w:after="0" w:line="356" w:lineRule="atLeast"/>
        <w:textAlignment w:val="baseline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рассылка</w:t>
      </w:r>
      <w:r w:rsidRPr="006B530F">
        <w:rPr>
          <w:rFonts w:ascii="Arial" w:eastAsia="Times New Roman" w:hAnsi="Arial" w:cs="Arial"/>
          <w:color w:val="444444"/>
          <w:sz w:val="26"/>
          <w:szCs w:val="26"/>
          <w:lang w:eastAsia="ru-RU"/>
        </w:rPr>
        <w:br/>
      </w:r>
    </w:p>
    <w:p w:rsidR="006B530F" w:rsidRPr="006B530F" w:rsidRDefault="006B530F" w:rsidP="006B530F">
      <w:pPr>
        <w:spacing w:after="162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B530F">
        <w:rPr>
          <w:rFonts w:ascii="Times New Roman" w:eastAsia="Times New Roman" w:hAnsi="Times New Roman" w:cs="Times New Roman"/>
          <w:sz w:val="19"/>
          <w:szCs w:val="19"/>
          <w:lang w:eastAsia="ru-RU"/>
        </w:rPr>
        <w:t>© АО «Кодекс», 2023. Исключительные </w:t>
      </w:r>
    </w:p>
    <w:p w:rsidR="007B08A0" w:rsidRDefault="007B08A0"/>
    <w:sectPr w:rsidR="007B08A0" w:rsidSect="007B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774E0C"/>
    <w:rsid w:val="006B530F"/>
    <w:rsid w:val="00774E0C"/>
    <w:rsid w:val="007B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0"/>
  </w:style>
  <w:style w:type="paragraph" w:styleId="2">
    <w:name w:val="heading 2"/>
    <w:basedOn w:val="a"/>
    <w:link w:val="20"/>
    <w:uiPriority w:val="9"/>
    <w:qFormat/>
    <w:rsid w:val="006B5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B5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7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4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E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B53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53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6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6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81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0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32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23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59591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54916" TargetMode="External"/><Relationship Id="rId13" Type="http://schemas.openxmlformats.org/officeDocument/2006/relationships/hyperlink" Target="https://docs.cntd.ru/document/420384257" TargetMode="External"/><Relationship Id="rId18" Type="http://schemas.openxmlformats.org/officeDocument/2006/relationships/hyperlink" Target="https://docs.cntd.ru/document/563932203/outerdata/4451490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20384257" TargetMode="External"/><Relationship Id="rId7" Type="http://schemas.openxmlformats.org/officeDocument/2006/relationships/hyperlink" Target="https://docs.cntd.ru/document/902180656" TargetMode="External"/><Relationship Id="rId12" Type="http://schemas.openxmlformats.org/officeDocument/2006/relationships/hyperlink" Target="https://docs.cntd.ru/document/420384257" TargetMode="External"/><Relationship Id="rId17" Type="http://schemas.openxmlformats.org/officeDocument/2006/relationships/hyperlink" Target="https://docs.cntd.ru/document/563932203/outerdata/44514903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420384257" TargetMode="External"/><Relationship Id="rId20" Type="http://schemas.openxmlformats.org/officeDocument/2006/relationships/hyperlink" Target="https://docs.cntd.ru/document/5636877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80656" TargetMode="External"/><Relationship Id="rId11" Type="http://schemas.openxmlformats.org/officeDocument/2006/relationships/hyperlink" Target="https://docs.cntd.ru/document/90235057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s.cntd.ru/document/563932203" TargetMode="External"/><Relationship Id="rId15" Type="http://schemas.openxmlformats.org/officeDocument/2006/relationships/hyperlink" Target="https://docs.cntd.ru/document/5524499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902350579" TargetMode="External"/><Relationship Id="rId19" Type="http://schemas.openxmlformats.org/officeDocument/2006/relationships/hyperlink" Target="https://docs.cntd.ru/document/563932203/outerdata/445149037" TargetMode="External"/><Relationship Id="rId4" Type="http://schemas.openxmlformats.org/officeDocument/2006/relationships/hyperlink" Target="https://docs.cntd.ru/document/563932203" TargetMode="External"/><Relationship Id="rId9" Type="http://schemas.openxmlformats.org/officeDocument/2006/relationships/hyperlink" Target="https://docs.cntd.ru/document/902254916" TargetMode="External"/><Relationship Id="rId14" Type="http://schemas.openxmlformats.org/officeDocument/2006/relationships/hyperlink" Target="https://docs.cntd.ru/document/420349846" TargetMode="External"/><Relationship Id="rId22" Type="http://schemas.openxmlformats.org/officeDocument/2006/relationships/hyperlink" Target="https://docs.cntd.ru/document/552449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2027</Words>
  <Characters>11557</Characters>
  <Application>Microsoft Office Word</Application>
  <DocSecurity>0</DocSecurity>
  <Lines>96</Lines>
  <Paragraphs>27</Paragraphs>
  <ScaleCrop>false</ScaleCrop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8.1</dc:creator>
  <cp:lastModifiedBy>Windows 8.1</cp:lastModifiedBy>
  <cp:revision>2</cp:revision>
  <dcterms:created xsi:type="dcterms:W3CDTF">2023-04-05T17:51:00Z</dcterms:created>
  <dcterms:modified xsi:type="dcterms:W3CDTF">2023-04-05T17:51:00Z</dcterms:modified>
</cp:coreProperties>
</file>